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F1" w:rsidRPr="00E023F1" w:rsidRDefault="00E023F1" w:rsidP="00E023F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23F1" w:rsidRPr="00E023F1" w:rsidRDefault="00E023F1" w:rsidP="00E023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ПРАВИТЕЛЬСТВО РОССИЙСКОЙ ФЕДЕРАЦИИ</w:t>
      </w:r>
    </w:p>
    <w:p w:rsidR="00E023F1" w:rsidRPr="00E023F1" w:rsidRDefault="00E023F1" w:rsidP="00E023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23F1" w:rsidRPr="00E023F1" w:rsidRDefault="00E023F1" w:rsidP="00E023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E023F1" w:rsidRPr="00E023F1" w:rsidRDefault="00E023F1" w:rsidP="00E023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20 сентября 2016 г. № 947</w:t>
      </w:r>
    </w:p>
    <w:p w:rsidR="00E023F1" w:rsidRPr="00E023F1" w:rsidRDefault="00E023F1" w:rsidP="00E023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23F1" w:rsidRPr="00E023F1" w:rsidRDefault="00E023F1" w:rsidP="00E023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ВНЕСЕНИИ ИЗМЕНЕНИЙ В ПРАВИЛА ПРОТИВОПОЖАРНОГО РЕЖИМА В РОССИЙСКОЙ ФЕДЕРАЦИИ</w:t>
      </w:r>
    </w:p>
    <w:p w:rsidR="00E023F1" w:rsidRPr="00E023F1" w:rsidRDefault="00E023F1" w:rsidP="00E023F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23F1" w:rsidRPr="00E023F1" w:rsidRDefault="00E023F1" w:rsidP="00E023F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Правительство Российской Федерации</w:t>
      </w: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ПОСТАНОВЛЯЕТ:</w:t>
      </w: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прилагаемые изменения, которые вносятся в Правила противопожарного режима в Российской Федерации, утвержденные постановлением Правительства Росси</w:t>
      </w: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Федерации от 25 апреля 2012 г. № 390 "О противопожарном режиме" (Собрание з</w:t>
      </w: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</w:t>
      </w: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дательства Российской Федерации, 2012, № 19, ст. 2415; 2014, № 9, ст. 906; № 26, ст. 3577; 2015, № 11, ст. 1607; № 46, ст. 6397; 2016, № 15, ст. 2105).</w:t>
      </w:r>
      <w:proofErr w:type="gramEnd"/>
    </w:p>
    <w:p w:rsidR="00E023F1" w:rsidRPr="00E023F1" w:rsidRDefault="00E023F1" w:rsidP="00E023F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Настоящее постановление вступает в силу по истечении 12 месяцев со дня его офиц</w:t>
      </w: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ального опубликования.</w:t>
      </w:r>
    </w:p>
    <w:p w:rsidR="00E023F1" w:rsidRPr="00E023F1" w:rsidRDefault="00E023F1" w:rsidP="00E023F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23F1" w:rsidRPr="00E023F1" w:rsidRDefault="00E023F1" w:rsidP="00E023F1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Правительства</w:t>
      </w:r>
    </w:p>
    <w:p w:rsidR="00E023F1" w:rsidRPr="00E023F1" w:rsidRDefault="00E023F1" w:rsidP="00E023F1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E023F1" w:rsidRPr="00E023F1" w:rsidRDefault="00E023F1" w:rsidP="00E023F1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02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Д.Медведев</w:t>
      </w:r>
      <w:proofErr w:type="spellEnd"/>
    </w:p>
    <w:p w:rsidR="00E023F1" w:rsidRPr="00E023F1" w:rsidRDefault="00E023F1" w:rsidP="00E023F1">
      <w:pPr>
        <w:pStyle w:val="ConsPlusNormal"/>
        <w:spacing w:line="240" w:lineRule="exact"/>
        <w:jc w:val="right"/>
        <w:outlineLvl w:val="0"/>
        <w:rPr>
          <w:sz w:val="24"/>
          <w:szCs w:val="24"/>
        </w:rPr>
      </w:pPr>
    </w:p>
    <w:p w:rsidR="00E023F1" w:rsidRPr="00E023F1" w:rsidRDefault="00E023F1" w:rsidP="00E023F1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23F1">
        <w:rPr>
          <w:rFonts w:ascii="Times New Roman" w:hAnsi="Times New Roman" w:cs="Times New Roman"/>
          <w:sz w:val="24"/>
          <w:szCs w:val="24"/>
        </w:rPr>
        <w:t>Утверждены</w:t>
      </w:r>
    </w:p>
    <w:p w:rsidR="00E023F1" w:rsidRPr="00E023F1" w:rsidRDefault="00E023F1" w:rsidP="00E023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023F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023F1" w:rsidRDefault="00E023F1" w:rsidP="00E023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023F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E023F1" w:rsidRDefault="00E023F1" w:rsidP="00E023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сентября 2016 г. № 947</w:t>
      </w:r>
    </w:p>
    <w:p w:rsidR="00E023F1" w:rsidRDefault="00E023F1" w:rsidP="00E023F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E023F1" w:rsidRDefault="00E023F1" w:rsidP="00E02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 ВНОСЯТСЯ В ПРАВИЛА ПРОТИВОПОЖАРНОГО РЕЖИМА</w:t>
      </w:r>
      <w:proofErr w:type="gramEnd"/>
    </w:p>
    <w:p w:rsidR="00E023F1" w:rsidRDefault="00E023F1" w:rsidP="00E02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пункте 1 слова "объектов (далее - объекты)" заменить словами "объектов защ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ты (далее - объекты защиты)".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Пункт 2: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 слова "объект" в соответствующих числе и падеже дополнить словом "з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щиты";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 слов "помещения категории" дополнить словами "А, Б и".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4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5 признать утратившим силу.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пункте 7 слова "На объекте с массовым пребыванием людей (кроме жилых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мов)" заменить словами "В здании или сооружении, кроме жилых домов, в котором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жет одновременно находиться 50 и более человек, то есть на объекте с массовым преб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ванием людей".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пункте 8: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 слова "объекте" дополнить словом "защиты";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слова "(в том числе в школах-интернатах, организациях социального обслужив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детских домах, дошкольных образовательных организациях, больницах и объектах для летнего детского отдыха)" заменить словами "(за исключением производственных и складских объектов защиты, жилых зданий, объектов с персоналом, осуществляющим круглосуточную охрану)".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Пункт 9: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 слова "объекте" дополнить словом "защиты";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дополнить словами "из расчета не менее 1 средства индивидуальной защиты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ганов дыхания и зрения человека на каждого дежурного".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Пункт 10 после слова "объект" в соответствующем падеже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Пункт 11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"11. Руководитель организации обеспечивает здания для летнего детского отдыха телефонной связью и устройством для подачи сигнала тревоги при пожаре. Не допуск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размещать: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детей в мансардных помещениях зданий и сооружений IV и V степеней огн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стойкости, а также класса конструктивной пожарной опасности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С3;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более 50 детей в помещениях зданий и сооружений IV и V степеней огнестойк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а также класса конструктивной пожарной опасности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С3;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детей на этаже с одним эвакуационным выходом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Пункты 12 - 14 после слова "объект" в соответствующем числе дополнить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Пункт 17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"17.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пункте 18 слова "на территориях, прилегающих к объектам" заменить словами "на территориях общего пользования, прилегающих к объектам 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Пункт 19 после слов "на территориях" дополнить словами "общего 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Пункт 21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"21. Руководитель организации обеспечивает устранение повреждений средств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незащиты для строительных конструкций, инженерного оборудования зданий и соор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жений, а также осуществляет проверку состояния огнезащитной обработки (пропитки) в соответствии с инструкцией изготовителя и составляет акт (протокол) проверки состо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ния огн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окончания гарантированного срока огнезащитной эффективности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инструкцией завода-изготовителя и (или)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пункте 23: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после слова "объектах" дополнить словом "защиты";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подпункт "а"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"а) хранить и применять на чердаках, в подвалах и цокольных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 и материалы, кроме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чаев, предусмотренных нормативными документами по пожарной безопасности в сфере технического регулирования;";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подпункт "в"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"в) размещать и эксплуатировать в лифтовых холлах кладовые, киоски, ларьки и другие подобные помещения, а также хранить горючие 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подпункты "г" и "е" признать утратившими силу;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подпункт "ж"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"ж) 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шения, у дверей эвакуационных выходов, люков на балконах и лоджиях, в переходах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 секциями и выходами на наружные эвакуационные лестницы, демонтировать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межбалконные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лестницы, а также заваривать люки на балконах и лоджиях квартир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подпункте "л" слова "и листового металла" исключить;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дополнить подпунктом "о"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"о) изменять (без проведения в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 связанные между собой).".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Пункт 24 после слов "в исправном состоянии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"их очистку от снега и наледи в зимнее время,".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пункте 32: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подпункт "а"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"а) применять пиротехнические изделия,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дуговые прожекторы со степенью защиты менее IP54 и свечи (кроме культовых сооружений)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подпункт "б" признать утратившим силу.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пункте 33 слова "статьи 84" заменить словами "части 4 статьи 4".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пункте 35: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после слов "изнутри без ключа" дополнить словами ", за исключ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случаев, устанавливаемых законодательством Российской Федерации";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второй после слова "объекте"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Подпункт "б" пункта 36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териалы, изделия, оборудование, производственные отходы, мусор и другие предметы, а также блокировать двери эвакуационных выходов;".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Дополнить пунктом 37(1)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"37(1). Руководитель организации обеспечивает исправное состояние механизмов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противопожарных дверей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Пункты 38 и 39 после слова "объектах"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Дополнить пунктом 40(1)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"40(1). Транспаранты и баннеры, размещаемые на фасадах зданий и сооружений, выполняются из негорючих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трудногорючих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материалов. При этом их размещение не должно ограничивать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Транспаранты и баннеры должны соответствовать требованиям пожарной безопа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ности, предъявляемым к облицовке внешних поверхностей наружных стен.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в пространстве воздушного зазора навесных фасадных систем открытым способом электрических кабелей и проводов не допускается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пункте 42: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подпункт "д" дополнить словами "и использовать несертифицированные аппар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 защиты электрических цепей";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подпункт "з" после слов "реставрационных работ"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при включении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электроподогрева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автотранспорта".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Абзац второй пункта 43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Пункт 46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"46. При эксплуатации газовых приборов запрещается: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пользоваться неисправными газовыми приборами;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инструкцией завода-изготовителя;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устанавливать (размещать) мебель и другие горючие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зовыми приборами).".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пункте 55: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после слов "обеспечивает исправность" дополнить словами ", 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временное обслуживание и ремонт";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третий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"Руководитель организации обеспечивает исправное состояние пожарных гидра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 и резервуаров, являющихся источником противопожарного водоснабжения, их уте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ление и очистку от снега и льда в зимнее время, а также доступность подъезда пожарной техн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 и забора воды в любое время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абзаце четвертом слово "водоемам" заменить словом "резервуарам".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пункте 57: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слово "вентилями" заменить словами "пожарными запорными клапанами";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втором слова "из негорючих материалов" исключить.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Дополнить пунктом 60(1)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"60(1). Водонапорные башни должны быть приспособлены для забора воды пожа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ной техникой в любое время года. Использование для хозяйственных и производстве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целей запаса воды в водонапорной башне, предназначенной для нужд пожаротуш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не разрешается.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бесперебойного энергоснабжения водонапорной башни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сматриваются автономные резервные источники электроснабжения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пункте 61: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"61. Руководитель организации обеспечивает исправное состояние систем и устан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вок противопожарной защиты и организует проведение проверки их работоспособности в соответствии с инструкцией на технические средства завода-изготовителя, национал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ными и (или) международными стандартами и оформляет акт проверки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третий после слова "объекте"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Абзац второй пункта 63 после слова "объектов"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Пункт 64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Пункт 66 признать утратившим силу.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Пункт 70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"70. Руководитель организации обеспечивает объект защиты огнетушителями по нормам согласно пунктам 468 и 474 настоящих Правил и приложениям N 1 и 2, а также обеспечивает соблюдение сроков их перезарядки, освидетельствования и своевременной замены, указанных в паспорте огнетушителя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Подпункт "а" пункта 71 после слова "объекта"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Подпункт "а" пункта 72(1)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Пункт 73 после слов "в виде лишения свободы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"следстве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изоляторов,".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Пункт 74 дополнить текстом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"Временные строения должны располагаться на расстоянии не менее 15 метров от других зданий и сооружений или у противопожарных стен.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лений и городских округов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В пункте 77: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 слова "объект" в соответствующих числе и падеже дополнить словом "з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щиты";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второй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 допускается сжигать отходы и тару, разводить костры в местах, находящихся на расстоянии менее 50 метров от объектов защиты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абзаце третьем слова "и городских округов, а также на расстоянии менее 100 метров" заменить словами ", городских округов и внутригородских муниципальных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разований, а также на расстоянии менее 1000 метров".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Пункт 78 дополнить предложением следующего содержания: "Противопожа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ные минерализованные полосы не должны препятствовать проезду к населенным пун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пожаротушения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Пункт 79 после слова "объектов"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Пункт 80 дополнить абзацем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"При наличии на территории объекта защиты или вблизи него (в радиусе 200 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ров) естественных или искусственных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(реки, озера, бассейны, градирни и др.) к ним должны быть устроены подъезды с площадками (пирсами) с твердым покр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тием размерами не менее 12 x 12 метров для установки пожарных автомобилей и забора воды в любое время года.".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 подпункте "б" пункта 80(1) слова "и Санкт-Петербурга" заменить словами ", Санкт-Петербурга и Севастополя".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Раздел II дополнить пунктами 80(2) - 80(5)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"80(2). Работы, связанные с применением легковоспламеняющихся и горючих жи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водить работы с применением легковоспламеняющихся и горючих жидкостей при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ключенных или неисправных системах вентиляции.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80(3). Легковоспламеняющиеся жидкости с температурой кипения ниже 50 °C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дует хранить в емкости из темного стекла в холодильнике.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80(4). Не допускается оставлять на рабочих местах тару с легковоспламеняющим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 и горючими жидкостями после их разлива в рабочую емкость. На рабочем месте ле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ковоспламеняющиеся и горючие жидкости должны находиться в количествах,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димых для выполнения работы. Тару из-под легковоспламеняющихся и горючих жидк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дует плотно закрывать и хранить в специально отведенном месте вне рабочих помещений.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80(5). </w:t>
      </w:r>
      <w:r>
        <w:rPr>
          <w:rFonts w:ascii="Times New Roman" w:hAnsi="Times New Roman" w:cs="Times New Roman"/>
          <w:sz w:val="24"/>
          <w:szCs w:val="24"/>
        </w:rPr>
        <w:t>По окончании работ неиспользованные и отработанные легковоспламеня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и горючие жидкости следует убирать в помещения, предназначенные для их хр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нения. Запрещается сливать легковоспламеняющиеся и горючие жидкости в канализ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В пункте 81: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слово "обязан" заменить словами ", собственники жилых домов (домовладений) обязаны";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"Неисправные печи и другие отопительные приборы к эксплуатации не допускаю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Пункт 85 после слова "объектах"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В пункте 89: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первый дополнить предложением следующего содержания: "В номерах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гостиниц, кемпингов, мотелей и общежитий вывешиваются планы эвакуации на случай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б) абзац второй после слова "объектах"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В пункте 94 слова "индивидуальные жилые дома" заменить словами "одноква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тирные жилые дома, в том числе жилые дома блокированной застройки".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 абзаце втором пункта 107 слова ", используемых для танцевальных вечеров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В пункте 111: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слова "(факелы, свечи, канделябры и др.), дуговых прожекторов" заменить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вами "(факелы, свечи и другие источники открытого огня), дуговых прожекторов со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пенью защиты менее IP54";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"Для обеспечения безопасности людей при проведении спортивных и других масс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мероприятий принимаются меры по тушению фальшфейеров с применением огн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тушителей в соответствии с приложением N 1 к настоящим Правилам, огнетушащих накидок и других средств, обеспечивающих тушение таких изделий, а также горящей на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веке одежды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Пункт 114(1)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"114(1).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Объекты защиты вместимостью не более 10 тыс. человек, на которых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водятся культурно-просветительные и зрелищные мероприятия, в целях тушения фал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шфейеров оснащаются 10 огнетушителями в соответствии с приложением N 1 к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щим Правилам и 10 покрывалами для изоляции очага возгорания, либо 20 покрывалами для изоляции очага возгорания, либо 20 огнетушителями в соответствии с указанным приложением.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защиты вместимостью более 10 тыс. человек, на которых проводятся культурно-просветительные и зрелищные мероприятия, в целях тушения фальшфейеров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 приложением N 1 к настоящим Правилам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 подпункте "б" пункта 115: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слова ", горючих газов (в том числе баллонов с газом, лакокрасочных изделий, растворителей, товаров в аэрозольной упаковке)" заменить словами "(за исключением продуктов питания, лекарственных средств, медицинских изделий, косметической и 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когольной продукции), горючих газов";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 слов "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являющихся зданиями" дополнить словами "(частями зданий)".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В пункте 116 слово "временное" исключить.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Пункт 132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"132. Патроны к оружию, а также пиротехнические изделия технического назнач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хранятся в металлических шкафах, установленных в помещениях, отгороженных от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 помещений противопожарными перегородками.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Пиротехнические изделия бытового назначения хранятся в помещениях, отгор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женных от других помещений противопожарными перегородками.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хранение патронов к оружию, а также пиротехнических изделий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нического и бытового назначения в подвальных помещениях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Абзац первый пункта 144 дополнить словами "и оформляет акт".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Пункт 153 признать утратившим силу.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Пункт 186 дополнить подпунктами "л" и "м"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"л) в случае попадания масла на теплоизоляцию горячих поверхностей необходимо немедленно очистить ее (горячей водой или паром), а если эти меры не помогли (глуб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кая пропитка изоляции) - следует заменить участок теплоизоляции;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поддоны под маслонаполненным оборудованием для сбора возможных протечек </w:t>
      </w:r>
      <w:r>
        <w:rPr>
          <w:rFonts w:ascii="Times New Roman" w:hAnsi="Times New Roman" w:cs="Times New Roman"/>
          <w:sz w:val="24"/>
          <w:szCs w:val="24"/>
        </w:rPr>
        <w:lastRenderedPageBreak/>
        <w:t>масла должны находиться в исправном состоянии, проходимость трубопроводов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зованного отвода масла в сборный бак должна проверяться в период ремонтов. Запрещ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для сбора протечек масла из уплотнений и сальников на оборудовании укладывать тряпки и ветошь, а также использовать временные лотки и противни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Пункт 187 дополнить подпунктами "к" и "л"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"к) при эксплуатации кабельных сооружений огнезащитные кабельные покрытия и кабельные проходки не должны иметь видимых повреждений (отслоения, вздутия, 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лы, растрескивания и др.). При обнаружении таких мест принимаются меры по их ремо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ту и восстановлению;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запрещается эксплуатация кабельных сооружений после прокладки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тельных кабельных линий без восстановления требуемых нормируемых пределов огн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стойк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проходок в местах прохождения кабеля через строительные конструкции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Пункты 192 и 193 после слова "объектах"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Абзац второй пункта 198 и пункт 212 дополнить словами ", за исключением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 применения системы нейтрализации отработанных газов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Предложение первое абзаца второго пункта 234 дополнить словами ", за искл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 применения системы нейтрализации отработанных газов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Пункт 237 дополнить словами ", за исключением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 применения системы нейтрализации отработанных газов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Пункт 238 после слова "искрогасители" дополнить словами ", за исключением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 применения системы нейтрализации отработанных газов</w:t>
      </w:r>
      <w:proofErr w:type="gramEnd"/>
      <w:r>
        <w:rPr>
          <w:rFonts w:ascii="Times New Roman" w:hAnsi="Times New Roman" w:cs="Times New Roman"/>
          <w:sz w:val="24"/>
          <w:szCs w:val="24"/>
        </w:rPr>
        <w:t>,".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Подпункт "а" пункта 249 и пункт 251 после слова "объект" в соответствующих числе и падеже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В пункте 270: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после слова "объектах" дополнить словом "защиты";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втором слова "станций и расположенные" заменить словами "станций, а также расположенные".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Пункт 281 после слова "объектов"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Абзац второй пункта 289 дополнить словами ", за исключением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нения системы нейтрализации отработавших газов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В пункте 340 слова "автомобильной резиной" заменить словами "материалами, получаемыми путем вулканизации каучука,".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В пункте 348 слова ", устанавливать штепсельные розетки" исключить.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Абзац второй пункта 366 после слова "объектов"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Абзац второй пункта 368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Пункт 369 и абзац второй пункта 371 после слова "объекта"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Пункт 372 признать утратившим силу.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Пункт 374 после слова "объектов"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Пункт 375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Пункты 376, 385, 392 и 393 после слова "объект" в соответствующих числе и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деже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Пункт 394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"394.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Отдельные блок-контейнеры, используемые в качестве административно-бытовых помещений, допускается располагать одноэтажными или двухэтажными гру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пами не более 10 штук в группе и на площади не более 800 кв. метров.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Проживание 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дей в указанных помещениях на территории строительства не допускается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В подпункте "а" пункта 395 слова "в цеховой кладовой" заменить словами "на рабочем месте".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В подпункте "б" пункта 414 слова "или другими первичными средствами пож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ротушения" заменить словами "в соответствии с приложением N 1 к настоящим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лам".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80. Пункт 421 после слова "объектах"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Подпункт "ж" пункта 451 после слов "не оборудованных искрогасителями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полнить словами "за исключением случаев применения системы нейтрализации отраб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тавших газов,".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Пункт 457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"457. Автозаправочные станции оснащаются первичными средствами пожаротуш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Заправочный островок для заправки только легковых автомобилей, имеющий от 1 до 4 топливораздаточных колонок, оснащается не менее чем 2 огнетушителями (с учетом климатических условий эксплуатации) либо одним покрывалом (для изоляции очага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горания) и 1 огнетушителем (с учетом климатических условий эксплуатации), а запр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вочный островок, имеющий от 5 до 8 топливораздаточных колонок, оснащается не менее чем 4 огнетушителями (с учетом климатических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эксплуатации) либо 2 покрыв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лами (для изоляции очага возгорания) и 2 огнетушителями (с учетом климатических условий эксплуатации).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Заправочный островок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заправки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грузовых автомобилей, автобусов, крупногабаритной строительной и сельскохозяйственной техники оснащается не менее чем 2 передвижными огнетушителями (с учетом климатических условий эксплуатации) либо 4 покрывалами (для изоляции очага возгорания) и 1 огнетушителем (с учетом кл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матических условий эксплуатации).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для автоцистерны оснащается не менее чем 2 передвижными огнетуш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телями (с учетом климатических условий эксплуатации огнетушителей) либо 1 покрыв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лом (для изоляции очага возгорания) и 1 огнетушителем (с учетом климатических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вий эксплуатации).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огнетушителей и покрывал для изоляции очага возгорания на запр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вочных островках предусматривается в легкодоступных местах, защищенных от атм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сферных осадков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Абзацы первый и второй пункта 458 после слова "объекта"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Подпункт "л" пункта 461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Подпункты "а", "ж" и "л" - "н" пункта 462 после слова "объект" в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щем падеже дополнить словом "защиты".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Наименование раздела XIX после слова "объектов" дополнить словом "защиты".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В пункте 463 слово "производственных" исключить.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абзаце первом пункта 465 слова "на объекте (в помещении) осуществляется в соответствии с приложениями 1 и 2 в зависимости от огнетушащей способности огнет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шителя, предельной площади помещения, а также класса пожара" заменить словами "на объекте защиты (в помещении) осуществляется в соответствии с пунктами 468, 474 настоящих Правил и приложениями N 1 и 2 к настоящим Правилам в зависимости от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нетушащей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способности огнетушителя, категорий помещений по пожарной и взрывоп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жарной опасности, а также класса пожара".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В пункте 468: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слово "ручных" исключить;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"Требования по защите считаются выполненными при использовании огнетушит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более высокого ранга в соответствии с приложением N 1 к настоящим Правилам, при условии, что расстояние до огнетушителя от возможного очага возгорания не превышает норм, установленных пунктом 474 настоящих Правил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Пункт 470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"470. При наличии нескольких рядом расположенных помещений одного функци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назначения определение необходимого количества огнетушителей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по суммарной площади этих помещений и с учетом пункта 474 настоящих Правил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91. Пункт 474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"474. 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дования) не должно превышать 20 метров для помещений административного и общественного назначения, 30 метров - для помещений категорий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Б и В1 - В4 по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жарной и взрывопожарной опасности, 40 метров - для помещений категории Г по пожа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ной и взр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вопожарной опасности, 70 метров - для помещений категории Д по пожарной и взрыв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пожарной опасности.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и сооружения производственного и складского назначения дополнительно оснащаются передвижными огнетушителями в соответствии с приложением N 2 к наст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ящим Правилам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Пункт 475: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после слова "объекте" дополнить словом "защиты";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 слова "паспорт" дополнить словами "завода-изготовителя".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В абзаце втором пункта 478 слова ", а также иных первичных средств пожар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тушения" исключить.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В пункте 481: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изложить в следующей редакции: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"481. Здания, не оборудованные внутренним противопожарным водопроводом и 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томатическими установками пожаротушения, а также территории предприятий (орган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заций), не имеющие наружного противопожарного водопровода, или наружные технол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гические установки этих предприятий (организаций), удаленные на расстоянии более 100 метров от источников наружного противопожарного водоснабжения, должны оборуд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ваться пожарными щитами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втором слова "в зависимости от категории помещений, зданий (соор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жений) и наружных технологических установок по взрывопожарной и пожарной опасн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сти" исключить.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В абзаце первом пункта 484 слова "со щитами в помещениях или на открытых площадках" заменить словами "с пожарными щитами в местах".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Пункт 490 после слов "пожароопасного сезона" дополнить словом "ежегодно".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Дополнить пунктом 492 следующего содержания: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"492. У въездов на территорию строительных площадок, гаражных кооперативов, а также садоводческих, огороднических и дачных некоммерческих объединений граждан вывешиваются схемы с нанесенными на них въездами, подъездами, пожарными прое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дами и местонахождением источников противопожарного водоснабжения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Приложения N 1 и 2 к указанным Правилам изложить в следующей редакции: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"Приложение </w:t>
      </w:r>
      <w:r w:rsidR="00D028B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gramEnd"/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 в Российской Федерации</w:t>
      </w:r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сентября 2016 г. </w:t>
      </w:r>
      <w:r w:rsidR="00D028B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947)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</w:t>
      </w:r>
    </w:p>
    <w:p w:rsidR="00E023F1" w:rsidRDefault="00E023F1" w:rsidP="00E02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ОГНЕТУШИТЕЛЯМИ ОБЪЕКТОВ ЗАЩИТЫ В ЗАВИСИМОСТИ</w:t>
      </w:r>
    </w:p>
    <w:p w:rsidR="00E023F1" w:rsidRDefault="00E023F1" w:rsidP="00E02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ИХ КАТЕГОРИЙ ПО ПОЖАРНОЙ И ВЗРЫВОПОЖАРНОЙ ОПАСНОСТИ</w:t>
      </w:r>
    </w:p>
    <w:p w:rsidR="00E023F1" w:rsidRDefault="00E023F1" w:rsidP="00E02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КЛАССА ПОЖАРА (ЗА ИСКЛЮЧЕНИЕМ АВТОЗАПРАВОЧНЫХ СТАНЦИЙ)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8"/>
        <w:gridCol w:w="1066"/>
        <w:gridCol w:w="4706"/>
      </w:tblGrid>
      <w:tr w:rsidR="00E023F1" w:rsidTr="00E023F1"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помещения по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жарной и взрывопожарной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опасности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 пожара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Огнетушители с рангом тушения модельн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очага</w:t>
            </w:r>
          </w:p>
        </w:tc>
      </w:tr>
      <w:tr w:rsidR="00E023F1" w:rsidTr="00E023F1">
        <w:tc>
          <w:tcPr>
            <w:tcW w:w="32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А, Б,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4A</w:t>
            </w:r>
          </w:p>
        </w:tc>
      </w:tr>
      <w:tr w:rsidR="00E023F1" w:rsidTr="00E023F1">
        <w:tc>
          <w:tcPr>
            <w:tcW w:w="32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144B</w:t>
            </w:r>
          </w:p>
        </w:tc>
      </w:tr>
      <w:tr w:rsidR="00E023F1" w:rsidTr="00E023F1">
        <w:tc>
          <w:tcPr>
            <w:tcW w:w="32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4A, 144B, C или 144B, C</w:t>
            </w:r>
          </w:p>
        </w:tc>
      </w:tr>
      <w:tr w:rsidR="00E023F1" w:rsidTr="00E023F1">
        <w:tc>
          <w:tcPr>
            <w:tcW w:w="32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E023F1" w:rsidRPr="00E023F1" w:rsidTr="00E023F1">
        <w:tc>
          <w:tcPr>
            <w:tcW w:w="32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4A, 144B, C, 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144B, C, E</w:t>
            </w:r>
          </w:p>
        </w:tc>
      </w:tr>
      <w:tr w:rsidR="00E023F1" w:rsidTr="00E023F1">
        <w:tc>
          <w:tcPr>
            <w:tcW w:w="3278" w:type="dxa"/>
            <w:vMerge w:val="restart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Г, Д</w:t>
            </w: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2A</w:t>
            </w:r>
          </w:p>
        </w:tc>
      </w:tr>
      <w:tr w:rsidR="00E023F1" w:rsidTr="00E023F1">
        <w:tc>
          <w:tcPr>
            <w:tcW w:w="3278" w:type="dxa"/>
            <w:vMerge/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55B</w:t>
            </w:r>
          </w:p>
        </w:tc>
      </w:tr>
      <w:tr w:rsidR="00E023F1" w:rsidTr="00E023F1">
        <w:tc>
          <w:tcPr>
            <w:tcW w:w="3278" w:type="dxa"/>
            <w:vMerge/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2A, 55B, C или 55B, C</w:t>
            </w:r>
          </w:p>
        </w:tc>
      </w:tr>
      <w:tr w:rsidR="00E023F1" w:rsidTr="00E023F1">
        <w:tc>
          <w:tcPr>
            <w:tcW w:w="3278" w:type="dxa"/>
            <w:vMerge/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E023F1" w:rsidRPr="00E023F1" w:rsidTr="00E023F1">
        <w:tc>
          <w:tcPr>
            <w:tcW w:w="3278" w:type="dxa"/>
            <w:vMerge/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2A, 55B, C, 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55B, C, E</w:t>
            </w:r>
          </w:p>
        </w:tc>
      </w:tr>
      <w:tr w:rsidR="00E023F1" w:rsidTr="00E023F1">
        <w:tc>
          <w:tcPr>
            <w:tcW w:w="32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здания</w:t>
            </w: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2A</w:t>
            </w:r>
          </w:p>
        </w:tc>
      </w:tr>
      <w:tr w:rsidR="00E023F1" w:rsidTr="00E023F1">
        <w:tc>
          <w:tcPr>
            <w:tcW w:w="3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55B</w:t>
            </w:r>
          </w:p>
        </w:tc>
      </w:tr>
      <w:tr w:rsidR="00E023F1" w:rsidTr="00E023F1">
        <w:tc>
          <w:tcPr>
            <w:tcW w:w="3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70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2A, 55B, C или 55B, C</w:t>
            </w:r>
          </w:p>
        </w:tc>
      </w:tr>
      <w:tr w:rsidR="00E023F1" w:rsidRPr="00E023F1" w:rsidTr="00E023F1">
        <w:tc>
          <w:tcPr>
            <w:tcW w:w="3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2A, 55B, C, 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55B, C, E</w:t>
            </w:r>
          </w:p>
        </w:tc>
      </w:tr>
    </w:tbl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В помещениях, в которых находятся разные виды горючего матер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ала и возможно возникновение различных классов пожара, используются универсальные по области применения огнетушители.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Допускается использовать иные средства пожаротушения, обеспечивающие 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шение соответствующего класса пожара и ранг тушения модельного очага пожара, в том числе генераторы огнетушащего аэрозоля переносные.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28B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gramEnd"/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 в Российской Федерации</w:t>
      </w:r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E023F1" w:rsidRDefault="00E023F1" w:rsidP="00D028B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сентября 2016 г. </w:t>
      </w:r>
      <w:r w:rsidR="00D028B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947)</w:t>
      </w:r>
    </w:p>
    <w:p w:rsidR="00E023F1" w:rsidRDefault="00E023F1" w:rsidP="00D028B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</w:t>
      </w:r>
    </w:p>
    <w:p w:rsidR="00E023F1" w:rsidRDefault="00E023F1" w:rsidP="00E02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ОСНАЩЕНИЯ ПОМЕЩЕНИЙ ПЕРЕДВИЖНЫМИ ОГНЕТУШИТЕЛЯМИ</w:t>
      </w:r>
    </w:p>
    <w:p w:rsidR="00E023F1" w:rsidRDefault="00E023F1" w:rsidP="00E02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АВТОЗАПРАВОЧНЫХ СТАНЦИЙ)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1622"/>
        <w:gridCol w:w="1032"/>
        <w:gridCol w:w="4082"/>
      </w:tblGrid>
      <w:tr w:rsidR="00E023F1" w:rsidTr="00E023F1"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Категория пом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щения по пожа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и взрывоп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жарной опасности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защищаемая площадь (кв. метров)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 пожара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Огнетушители с рангом тушения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дельного очага (штук)</w:t>
            </w:r>
          </w:p>
        </w:tc>
      </w:tr>
      <w:tr w:rsidR="00E023F1" w:rsidTr="00E023F1"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 Б,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2 - 6A или 1 - 10A</w:t>
            </w:r>
          </w:p>
        </w:tc>
      </w:tr>
      <w:tr w:rsidR="00E023F1" w:rsidTr="00E023F1">
        <w:tc>
          <w:tcPr>
            <w:tcW w:w="2146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082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2-144B или 1-233B</w:t>
            </w:r>
          </w:p>
        </w:tc>
      </w:tr>
      <w:tr w:rsidR="00E023F1" w:rsidTr="00E023F1">
        <w:tc>
          <w:tcPr>
            <w:tcW w:w="2146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082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2 - 6A, 144B, C или 1-10A, 233B, C</w:t>
            </w:r>
          </w:p>
        </w:tc>
      </w:tr>
      <w:tr w:rsidR="00E023F1" w:rsidTr="00E023F1">
        <w:tc>
          <w:tcPr>
            <w:tcW w:w="2146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082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E023F1" w:rsidTr="00E023F1">
        <w:tc>
          <w:tcPr>
            <w:tcW w:w="2146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4082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2 - 6A, 144B, C, E или 1-10A,</w:t>
            </w:r>
          </w:p>
        </w:tc>
      </w:tr>
      <w:tr w:rsidR="00E023F1" w:rsidTr="00E023F1">
        <w:tc>
          <w:tcPr>
            <w:tcW w:w="2146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233B, C, E</w:t>
            </w:r>
          </w:p>
        </w:tc>
      </w:tr>
      <w:tr w:rsidR="00E023F1" w:rsidTr="00E023F1">
        <w:tc>
          <w:tcPr>
            <w:tcW w:w="2146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Г, Д</w:t>
            </w:r>
          </w:p>
        </w:tc>
        <w:tc>
          <w:tcPr>
            <w:tcW w:w="1622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32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4082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2 - 6A или 1-10A</w:t>
            </w:r>
          </w:p>
        </w:tc>
      </w:tr>
      <w:tr w:rsidR="00E023F1" w:rsidTr="00E023F1">
        <w:tc>
          <w:tcPr>
            <w:tcW w:w="2146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082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2-144B или 1-233B</w:t>
            </w:r>
          </w:p>
        </w:tc>
      </w:tr>
      <w:tr w:rsidR="00E023F1" w:rsidTr="00E023F1">
        <w:tc>
          <w:tcPr>
            <w:tcW w:w="2146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082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2 - 6A, 144B, C или 1-10A, 233B, C или 2-144B, C или 1-233B, C</w:t>
            </w:r>
          </w:p>
        </w:tc>
      </w:tr>
      <w:tr w:rsidR="00E023F1" w:rsidTr="00E023F1">
        <w:tc>
          <w:tcPr>
            <w:tcW w:w="2146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082" w:type="dxa"/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E023F1" w:rsidRPr="00E023F1" w:rsidTr="00E023F1"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2 - 6A, 144B, C, 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1-10A, 233B, C, 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2-144B, C, 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1-233B, C, E</w:t>
            </w:r>
          </w:p>
        </w:tc>
      </w:tr>
    </w:tbl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В помещениях, в которых находятся разные виды горючего матер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ала и возможно возникновение различных классов пожара, используются универсальные по области применения огнетушители.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Допускается использовать иные средства пожаротушения, обеспечивающие 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шение соответствующего класса пожара и ранг тушения модельного очага пожара, в том числе генераторы огнетушащего аэрозоля переносные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В приложении </w:t>
      </w:r>
      <w:r w:rsidR="00D028B8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4 к указанным Правилам:</w:t>
      </w: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4 изложить в следующей редакции: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"4. Состав исполнителей работ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57"/>
        <w:gridCol w:w="1200"/>
        <w:gridCol w:w="1205"/>
        <w:gridCol w:w="2665"/>
      </w:tblGrid>
      <w:tr w:rsidR="00E023F1" w:rsidTr="00E023F1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о мерах пожарной безопасн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получил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о мерах пожарной безопасности провел (подпись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водителя работ)</w:t>
            </w:r>
          </w:p>
        </w:tc>
      </w:tr>
      <w:tr w:rsidR="00E023F1" w:rsidTr="00E023F1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3F1" w:rsidRDefault="00E023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023F1" w:rsidRDefault="00E023F1" w:rsidP="00E02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";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пункты 7 - 9 изложить в следующей редакции: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"7. Наряд-допуск выдан ________________________________________________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лица, выдавшего</w:t>
      </w:r>
      <w:proofErr w:type="gramEnd"/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наряд-допуск, подпись, дата)</w:t>
      </w:r>
      <w:proofErr w:type="gramEnd"/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Наряд-допуск получен __________________________________________________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 руководителя работ, дата)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___________________________________________________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 службами объекта,           (название службы, должность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       ___________________________________________________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производиться огневые           ответственного лица, подпись, дата)</w:t>
      </w:r>
      <w:proofErr w:type="gramEnd"/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Место проведения работ подготовлено: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работ ________________________________________________________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(подпись, дата, время)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Возможность производства работ согласована (в соответствии с пунктом 7)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ответственного лица службы объекта, на котором проводится</w:t>
      </w:r>
      <w:proofErr w:type="gramEnd"/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работа, дата, время)</w:t>
      </w: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Ежедневный допуск к работе и время ее окончания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"/>
        <w:gridCol w:w="1594"/>
        <w:gridCol w:w="3118"/>
        <w:gridCol w:w="1037"/>
        <w:gridCol w:w="2324"/>
      </w:tblGrid>
      <w:tr w:rsidR="00E023F1" w:rsidTr="00E023F1">
        <w:tc>
          <w:tcPr>
            <w:tcW w:w="5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Рабочее место подготовлено, исполнители допущены к работе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закончена, исполнители удалены с рабочего места</w:t>
            </w:r>
          </w:p>
        </w:tc>
      </w:tr>
      <w:tr w:rsidR="00E023F1" w:rsidTr="00E023F1"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ководителя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ответственного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 службы объекта, на 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проводится работа (в соответствии с пунктом 7)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3F1" w:rsidRDefault="00E0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руководит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работ</w:t>
            </w:r>
          </w:p>
        </w:tc>
      </w:tr>
    </w:tbl>
    <w:p w:rsidR="00E023F1" w:rsidRDefault="00E023F1" w:rsidP="00E02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Пункт 1 приложения N 6 к указанным Правилам признать утратившим силу.</w:t>
      </w: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23F1" w:rsidRDefault="00E023F1" w:rsidP="00E023F1">
      <w:pPr>
        <w:rPr>
          <w:rFonts w:ascii="Times New Roman" w:hAnsi="Times New Roman" w:cs="Times New Roman"/>
          <w:sz w:val="24"/>
          <w:szCs w:val="24"/>
        </w:rPr>
      </w:pPr>
    </w:p>
    <w:p w:rsidR="00A403CF" w:rsidRDefault="00A403CF"/>
    <w:sectPr w:rsidR="00A403CF" w:rsidSect="00532BDD">
      <w:pgSz w:w="11906" w:h="16838"/>
      <w:pgMar w:top="1134" w:right="567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75"/>
    <w:rsid w:val="001A6675"/>
    <w:rsid w:val="00532BDD"/>
    <w:rsid w:val="00A403CF"/>
    <w:rsid w:val="00D028B8"/>
    <w:rsid w:val="00E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2016-10-12T01:08:00Z</dcterms:created>
  <dcterms:modified xsi:type="dcterms:W3CDTF">2016-10-12T01:13:00Z</dcterms:modified>
</cp:coreProperties>
</file>